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91" w:rsidRDefault="004A2AE8" w:rsidP="004A2AE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A2AE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A2AE8" w:rsidRPr="004A2AE8" w:rsidRDefault="004A2AE8" w:rsidP="004A2AE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A2AE8">
        <w:rPr>
          <w:rFonts w:ascii="Times New Roman" w:hAnsi="Times New Roman" w:cs="Times New Roman"/>
          <w:sz w:val="20"/>
          <w:szCs w:val="20"/>
        </w:rPr>
        <w:t xml:space="preserve">к </w:t>
      </w:r>
      <w:r w:rsidR="007A7CCE">
        <w:rPr>
          <w:rFonts w:ascii="Times New Roman" w:hAnsi="Times New Roman" w:cs="Times New Roman"/>
          <w:sz w:val="20"/>
          <w:szCs w:val="20"/>
        </w:rPr>
        <w:t>Заявлению</w:t>
      </w:r>
      <w:r w:rsidRPr="004A2AE8">
        <w:rPr>
          <w:rFonts w:ascii="Times New Roman" w:hAnsi="Times New Roman" w:cs="Times New Roman"/>
          <w:sz w:val="20"/>
          <w:szCs w:val="20"/>
        </w:rPr>
        <w:t xml:space="preserve"> </w:t>
      </w:r>
      <w:r w:rsidRPr="004A2AE8">
        <w:rPr>
          <w:rFonts w:ascii="Times New Roman" w:hAnsi="Times New Roman" w:cs="Times New Roman"/>
          <w:sz w:val="20"/>
          <w:szCs w:val="20"/>
        </w:rPr>
        <w:t xml:space="preserve">о </w:t>
      </w:r>
      <w:r w:rsidR="007A7CCE" w:rsidRPr="007A7CCE">
        <w:rPr>
          <w:rFonts w:ascii="Times New Roman" w:hAnsi="Times New Roman" w:cs="Times New Roman"/>
          <w:sz w:val="20"/>
          <w:szCs w:val="20"/>
        </w:rPr>
        <w:t>подключении (технологическом присоединении)</w:t>
      </w:r>
    </w:p>
    <w:p w:rsidR="007A7CCE" w:rsidRDefault="004A2AE8" w:rsidP="004A2AE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A2AE8">
        <w:rPr>
          <w:rFonts w:ascii="Times New Roman" w:hAnsi="Times New Roman" w:cs="Times New Roman"/>
          <w:sz w:val="20"/>
          <w:szCs w:val="20"/>
        </w:rPr>
        <w:t>к централизованн</w:t>
      </w:r>
      <w:r w:rsidR="007A7CCE">
        <w:rPr>
          <w:rFonts w:ascii="Times New Roman" w:hAnsi="Times New Roman" w:cs="Times New Roman"/>
          <w:sz w:val="20"/>
          <w:szCs w:val="20"/>
        </w:rPr>
        <w:t>ой</w:t>
      </w:r>
      <w:r w:rsidRPr="004A2AE8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7A7CCE">
        <w:rPr>
          <w:rFonts w:ascii="Times New Roman" w:hAnsi="Times New Roman" w:cs="Times New Roman"/>
          <w:sz w:val="20"/>
          <w:szCs w:val="20"/>
        </w:rPr>
        <w:t xml:space="preserve">е </w:t>
      </w:r>
      <w:r w:rsidRPr="004A2AE8">
        <w:rPr>
          <w:rFonts w:ascii="Times New Roman" w:hAnsi="Times New Roman" w:cs="Times New Roman"/>
          <w:sz w:val="20"/>
          <w:szCs w:val="20"/>
        </w:rPr>
        <w:t>холодного водоснабжения и (или) водоотведения</w:t>
      </w:r>
      <w:r w:rsidRPr="004A2A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0CB" w:rsidRDefault="004A2AE8" w:rsidP="004A2AE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A2AE8">
        <w:rPr>
          <w:rFonts w:ascii="Times New Roman" w:hAnsi="Times New Roman" w:cs="Times New Roman"/>
          <w:sz w:val="20"/>
          <w:szCs w:val="20"/>
        </w:rPr>
        <w:t>от</w:t>
      </w:r>
      <w:r w:rsidR="007A7CCE">
        <w:rPr>
          <w:rFonts w:ascii="Times New Roman" w:hAnsi="Times New Roman" w:cs="Times New Roman"/>
          <w:sz w:val="20"/>
          <w:szCs w:val="20"/>
        </w:rPr>
        <w:t xml:space="preserve"> </w:t>
      </w:r>
      <w:r w:rsidRPr="004A2AE8">
        <w:rPr>
          <w:rFonts w:ascii="Times New Roman" w:hAnsi="Times New Roman" w:cs="Times New Roman"/>
          <w:sz w:val="20"/>
          <w:szCs w:val="20"/>
        </w:rPr>
        <w:t>«_____</w:t>
      </w:r>
      <w:proofErr w:type="gramStart"/>
      <w:r w:rsidRPr="004A2AE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A2AE8">
        <w:rPr>
          <w:rFonts w:ascii="Times New Roman" w:hAnsi="Times New Roman" w:cs="Times New Roman"/>
          <w:sz w:val="20"/>
          <w:szCs w:val="20"/>
        </w:rPr>
        <w:t>_________202__г.</w:t>
      </w:r>
    </w:p>
    <w:p w:rsidR="004A2AE8" w:rsidRPr="004A2AE8" w:rsidRDefault="004A2AE8" w:rsidP="004A2AE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E8" w:rsidRPr="00731391" w:rsidRDefault="004A2AE8" w:rsidP="00731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9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A2AE8" w:rsidRDefault="004A2AE8" w:rsidP="00731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391">
        <w:rPr>
          <w:rFonts w:ascii="Times New Roman" w:hAnsi="Times New Roman" w:cs="Times New Roman"/>
          <w:b/>
          <w:sz w:val="24"/>
          <w:szCs w:val="24"/>
        </w:rPr>
        <w:t>предоставляемых документов</w:t>
      </w:r>
      <w:r>
        <w:rPr>
          <w:rStyle w:val="a7"/>
          <w:rFonts w:ascii="Times New Roman" w:hAnsi="Times New Roman" w:cs="Times New Roman"/>
          <w:b/>
          <w:sz w:val="20"/>
          <w:szCs w:val="20"/>
        </w:rPr>
        <w:footnoteReference w:id="1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2AE8" w:rsidRPr="004A2AE8" w:rsidRDefault="004A2AE8" w:rsidP="004A2AE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8"/>
        <w:gridCol w:w="8783"/>
      </w:tblGrid>
      <w:tr w:rsidR="004A2AE8" w:rsidRPr="004A2AE8" w:rsidTr="00C7016D">
        <w:tc>
          <w:tcPr>
            <w:tcW w:w="568" w:type="dxa"/>
          </w:tcPr>
          <w:p w:rsidR="004A2AE8" w:rsidRPr="004A2AE8" w:rsidRDefault="004A2AE8" w:rsidP="004A2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</w:tcPr>
          <w:p w:rsidR="004A2AE8" w:rsidRPr="004A2AE8" w:rsidRDefault="004A2AE8" w:rsidP="004A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391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</w:tr>
      <w:tr w:rsidR="004A2AE8" w:rsidRPr="004A2AE8" w:rsidTr="00C7016D">
        <w:tc>
          <w:tcPr>
            <w:tcW w:w="568" w:type="dxa"/>
            <w:vAlign w:val="center"/>
          </w:tcPr>
          <w:p w:rsidR="004A2AE8" w:rsidRPr="004A2AE8" w:rsidRDefault="004A2AE8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3" w:type="dxa"/>
          </w:tcPr>
          <w:p w:rsidR="004A2AE8" w:rsidRPr="00731391" w:rsidRDefault="004A2AE8" w:rsidP="004A2AE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b/>
                <w:sz w:val="20"/>
                <w:szCs w:val="20"/>
              </w:rPr>
              <w:t>для физических лиц</w:t>
            </w:r>
          </w:p>
          <w:p w:rsidR="004A2AE8" w:rsidRPr="00731391" w:rsidRDefault="004A2AE8" w:rsidP="004A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39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копия паспорта или иного документа, удостоверяющего личность</w:t>
            </w:r>
          </w:p>
          <w:p w:rsidR="004A2AE8" w:rsidRPr="00731391" w:rsidRDefault="004A2AE8" w:rsidP="004A2AE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Pr="00731391">
              <w:rPr>
                <w:rFonts w:ascii="Times New Roman" w:hAnsi="Times New Roman" w:cs="Times New Roman"/>
                <w:b/>
                <w:sz w:val="20"/>
                <w:szCs w:val="20"/>
              </w:rPr>
              <w:t>прочих заявителей</w:t>
            </w:r>
          </w:p>
          <w:p w:rsidR="004A2AE8" w:rsidRPr="00731391" w:rsidRDefault="004A2AE8" w:rsidP="004A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39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копии учредительных документов </w:t>
            </w:r>
          </w:p>
          <w:p w:rsidR="004A2AE8" w:rsidRPr="004A2AE8" w:rsidRDefault="004A2AE8" w:rsidP="00960B6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1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лица, подписавшего запрос</w:t>
            </w:r>
          </w:p>
        </w:tc>
      </w:tr>
      <w:tr w:rsidR="004A2AE8" w:rsidRPr="004A2AE8" w:rsidTr="00C7016D">
        <w:tc>
          <w:tcPr>
            <w:tcW w:w="568" w:type="dxa"/>
            <w:vAlign w:val="center"/>
          </w:tcPr>
          <w:p w:rsidR="004A2AE8" w:rsidRPr="004A2AE8" w:rsidRDefault="004A2AE8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3" w:type="dxa"/>
          </w:tcPr>
          <w:p w:rsidR="004A2AE8" w:rsidRPr="004A2AE8" w:rsidRDefault="004A2AE8" w:rsidP="00960B68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копии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участка):</w:t>
            </w:r>
          </w:p>
          <w:p w:rsidR="00731391" w:rsidRDefault="004A2AE8" w:rsidP="00731391">
            <w:pPr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  <w:r w:rsidR="00960B68" w:rsidRPr="0073139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B68" w:rsidRPr="004A2AE8" w:rsidRDefault="004A2AE8" w:rsidP="00731391">
            <w:pPr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  <w:r w:rsidR="00731391" w:rsidRPr="0073139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2AE8" w:rsidRPr="004A2AE8" w:rsidTr="00C7016D">
        <w:tc>
          <w:tcPr>
            <w:tcW w:w="568" w:type="dxa"/>
            <w:vAlign w:val="center"/>
          </w:tcPr>
          <w:p w:rsidR="004A2AE8" w:rsidRPr="004A2AE8" w:rsidRDefault="004A2AE8" w:rsidP="0073139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3" w:type="dxa"/>
          </w:tcPr>
          <w:p w:rsidR="004A2AE8" w:rsidRPr="004A2AE8" w:rsidRDefault="004A2AE8" w:rsidP="00C7016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копия договора о комплексном развитии территории</w:t>
            </w:r>
            <w:r w:rsidR="00C701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C7016D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  <w:proofErr w:type="gramEnd"/>
            <w:r w:rsidR="00C7016D" w:rsidRPr="00C7016D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утвержденных в установленн</w:t>
            </w:r>
            <w:r w:rsidR="00C7016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C7016D" w:rsidRPr="00C7016D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  <w:r w:rsidR="00960B68" w:rsidRPr="0073139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2AE8" w:rsidRPr="004A2AE8" w:rsidTr="00C7016D">
        <w:tc>
          <w:tcPr>
            <w:tcW w:w="568" w:type="dxa"/>
            <w:vAlign w:val="center"/>
          </w:tcPr>
          <w:p w:rsidR="004A2AE8" w:rsidRPr="004A2AE8" w:rsidRDefault="004A2AE8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3" w:type="dxa"/>
          </w:tcPr>
          <w:p w:rsidR="004A2AE8" w:rsidRPr="004A2AE8" w:rsidRDefault="004A2AE8" w:rsidP="00C7016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 w:rsidR="007D1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предварительном согласовании предоставления земельного участка в </w:t>
            </w:r>
            <w:r w:rsidR="007D11F9" w:rsidRPr="007D11F9">
              <w:rPr>
                <w:rFonts w:ascii="Times New Roman" w:hAnsi="Times New Roman" w:cs="Times New Roman"/>
                <w:sz w:val="20"/>
                <w:szCs w:val="20"/>
              </w:rPr>
              <w:t>целях строительства объектов федерального значения, объектов регионального значения, объектов местного значения</w:t>
            </w:r>
            <w:r w:rsidR="007D11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016D" w:rsidRPr="00C7016D">
              <w:rPr>
                <w:rFonts w:ascii="Times New Roman" w:hAnsi="Times New Roman" w:cs="Times New Roman"/>
                <w:sz w:val="20"/>
                <w:szCs w:val="20"/>
              </w:rPr>
              <w:t>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</w:t>
            </w:r>
            <w:r w:rsidR="00C7016D">
              <w:rPr>
                <w:rFonts w:ascii="Times New Roman" w:hAnsi="Times New Roman" w:cs="Times New Roman"/>
                <w:sz w:val="20"/>
                <w:szCs w:val="20"/>
              </w:rPr>
              <w:t>адастровом плане территории</w:t>
            </w:r>
            <w:r w:rsidR="00731391" w:rsidRPr="0073139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2AE8" w:rsidRPr="004A2AE8" w:rsidTr="00C7016D">
        <w:tc>
          <w:tcPr>
            <w:tcW w:w="568" w:type="dxa"/>
            <w:vAlign w:val="center"/>
          </w:tcPr>
          <w:p w:rsidR="004A2AE8" w:rsidRPr="004A2AE8" w:rsidRDefault="004A2AE8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3" w:type="dxa"/>
          </w:tcPr>
          <w:p w:rsidR="0044079F" w:rsidRDefault="004A2AE8" w:rsidP="0044079F">
            <w:pPr>
              <w:spacing w:before="6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копии док</w:t>
            </w:r>
            <w:r w:rsidR="0044079F">
              <w:rPr>
                <w:rFonts w:ascii="Times New Roman" w:hAnsi="Times New Roman" w:cs="Times New Roman"/>
                <w:sz w:val="20"/>
                <w:szCs w:val="20"/>
              </w:rPr>
              <w:t>ументов на подключаемый объект:</w:t>
            </w:r>
          </w:p>
          <w:p w:rsidR="004A2AE8" w:rsidRPr="0044079F" w:rsidRDefault="004A2AE8" w:rsidP="0044079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b/>
                <w:sz w:val="20"/>
                <w:szCs w:val="20"/>
              </w:rPr>
              <w:t>ранее построенный и введенный в эксплуатацию</w:t>
            </w:r>
            <w:r w:rsidRPr="004407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AE8" w:rsidRPr="004A2AE8" w:rsidRDefault="004A2AE8" w:rsidP="0044079F">
            <w:pPr>
              <w:numPr>
                <w:ilvl w:val="0"/>
                <w:numId w:val="1"/>
              </w:numPr>
              <w:spacing w:before="60" w:after="60"/>
              <w:ind w:left="144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  <w:r w:rsidR="00440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AE8" w:rsidRDefault="004A2AE8" w:rsidP="0044079F">
            <w:pPr>
              <w:numPr>
                <w:ilvl w:val="0"/>
                <w:numId w:val="1"/>
              </w:numPr>
              <w:spacing w:before="60" w:after="60"/>
              <w:ind w:left="144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AE8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4A2AE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</w:p>
          <w:p w:rsidR="0044079F" w:rsidRDefault="0044079F" w:rsidP="0044079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b/>
                <w:sz w:val="20"/>
                <w:szCs w:val="20"/>
              </w:rPr>
              <w:t>для строящихся объектов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79F" w:rsidRDefault="0044079F" w:rsidP="0044079F">
            <w:pPr>
              <w:numPr>
                <w:ilvl w:val="0"/>
                <w:numId w:val="1"/>
              </w:numPr>
              <w:spacing w:before="60"/>
              <w:ind w:left="144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sz w:val="20"/>
                <w:szCs w:val="20"/>
              </w:rPr>
              <w:t xml:space="preserve">копия разрешения на строительство </w:t>
            </w:r>
          </w:p>
          <w:p w:rsidR="0044079F" w:rsidRPr="004A2AE8" w:rsidRDefault="0044079F" w:rsidP="0044079F">
            <w:pPr>
              <w:spacing w:after="60"/>
              <w:ind w:left="1446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07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(за исключением объектов, для строительства которых в соответствии с Градостроительным </w:t>
            </w:r>
            <w:hyperlink r:id="rId8" w:history="1">
              <w:r w:rsidRPr="0044079F">
                <w:rPr>
                  <w:rFonts w:ascii="Times New Roman" w:hAnsi="Times New Roman" w:cs="Times New Roman"/>
                  <w:i/>
                  <w:sz w:val="16"/>
                  <w:szCs w:val="16"/>
                </w:rPr>
                <w:t>кодексом</w:t>
              </w:r>
            </w:hyperlink>
            <w:r w:rsidRPr="004407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</w:t>
            </w:r>
            <w:r w:rsidRPr="0044079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44079F" w:rsidRPr="004A2AE8" w:rsidTr="00C7016D">
        <w:tc>
          <w:tcPr>
            <w:tcW w:w="568" w:type="dxa"/>
            <w:vAlign w:val="center"/>
          </w:tcPr>
          <w:p w:rsidR="0044079F" w:rsidRPr="004A2AE8" w:rsidRDefault="0044079F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3" w:type="dxa"/>
          </w:tcPr>
          <w:p w:rsidR="0044079F" w:rsidRPr="004A2AE8" w:rsidRDefault="0044079F" w:rsidP="0044079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sz w:val="20"/>
                <w:szCs w:val="20"/>
              </w:rPr>
              <w:t>ситуационный план расположения объекта с привязкой к территории населенного пункта</w:t>
            </w:r>
          </w:p>
        </w:tc>
      </w:tr>
      <w:tr w:rsidR="0044079F" w:rsidRPr="004A2AE8" w:rsidTr="00C7016D">
        <w:tc>
          <w:tcPr>
            <w:tcW w:w="568" w:type="dxa"/>
            <w:vAlign w:val="center"/>
          </w:tcPr>
          <w:p w:rsidR="0044079F" w:rsidRDefault="0044079F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83" w:type="dxa"/>
          </w:tcPr>
          <w:p w:rsidR="0044079F" w:rsidRPr="0044079F" w:rsidRDefault="0044079F" w:rsidP="0044079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эксплуатирующими организациями</w:t>
            </w:r>
          </w:p>
        </w:tc>
      </w:tr>
      <w:tr w:rsidR="0044079F" w:rsidRPr="004A2AE8" w:rsidTr="00C7016D">
        <w:tc>
          <w:tcPr>
            <w:tcW w:w="568" w:type="dxa"/>
            <w:vAlign w:val="center"/>
          </w:tcPr>
          <w:p w:rsidR="0044079F" w:rsidRDefault="0044079F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783" w:type="dxa"/>
          </w:tcPr>
          <w:p w:rsidR="0044079F" w:rsidRPr="0044079F" w:rsidRDefault="0044079F" w:rsidP="0044079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sz w:val="20"/>
                <w:szCs w:val="20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      </w:r>
          </w:p>
        </w:tc>
      </w:tr>
      <w:tr w:rsidR="00C7016D" w:rsidRPr="004A2AE8" w:rsidTr="00C7016D">
        <w:tc>
          <w:tcPr>
            <w:tcW w:w="568" w:type="dxa"/>
            <w:vAlign w:val="center"/>
          </w:tcPr>
          <w:p w:rsidR="00C7016D" w:rsidRPr="004A2AE8" w:rsidRDefault="0044079F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3" w:type="dxa"/>
          </w:tcPr>
          <w:p w:rsidR="00C7016D" w:rsidRPr="004A2AE8" w:rsidRDefault="0044079F" w:rsidP="00D91E2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sz w:val="20"/>
                <w:szCs w:val="20"/>
              </w:rPr>
              <w:t>градостроит</w:t>
            </w:r>
            <w:r w:rsidR="00D91E2C">
              <w:rPr>
                <w:rFonts w:ascii="Times New Roman" w:hAnsi="Times New Roman" w:cs="Times New Roman"/>
                <w:sz w:val="20"/>
                <w:szCs w:val="20"/>
              </w:rPr>
              <w:t>ельный план земельного участка</w:t>
            </w:r>
          </w:p>
        </w:tc>
      </w:tr>
      <w:tr w:rsidR="0044079F" w:rsidRPr="004A2AE8" w:rsidTr="00C7016D">
        <w:tc>
          <w:tcPr>
            <w:tcW w:w="568" w:type="dxa"/>
            <w:vAlign w:val="center"/>
          </w:tcPr>
          <w:p w:rsidR="0044079F" w:rsidRDefault="00D91E2C" w:rsidP="004A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783" w:type="dxa"/>
          </w:tcPr>
          <w:p w:rsidR="0044079F" w:rsidRDefault="0044079F" w:rsidP="0073139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9F">
              <w:rPr>
                <w:rFonts w:ascii="Times New Roman" w:hAnsi="Times New Roman" w:cs="Times New Roman"/>
                <w:sz w:val="20"/>
                <w:szCs w:val="20"/>
              </w:rPr>
              <w:t>проект планировки территории и проект межевания территории</w:t>
            </w:r>
          </w:p>
          <w:p w:rsidR="00D91E2C" w:rsidRPr="00D91E2C" w:rsidRDefault="00D91E2C" w:rsidP="00D91E2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1E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(предоставляется </w:t>
            </w:r>
            <w:r w:rsidRPr="00D91E2C">
              <w:rPr>
                <w:rFonts w:ascii="Times New Roman" w:hAnsi="Times New Roman" w:cs="Times New Roman"/>
                <w:i/>
                <w:sz w:val="16"/>
                <w:szCs w:val="16"/>
              </w:rPr>
              <w:t>при подключении водопроводных и канализационных сетей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</w:t>
            </w:r>
          </w:p>
        </w:tc>
      </w:tr>
      <w:tr w:rsidR="00C7016D" w:rsidRPr="00535362" w:rsidTr="00C7016D">
        <w:trPr>
          <w:trHeight w:val="254"/>
        </w:trPr>
        <w:tc>
          <w:tcPr>
            <w:tcW w:w="568" w:type="dxa"/>
          </w:tcPr>
          <w:p w:rsidR="00C7016D" w:rsidRPr="00FA1945" w:rsidRDefault="00C7016D" w:rsidP="005E1BA0">
            <w:pPr>
              <w:spacing w:before="60"/>
              <w:ind w:left="-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8783" w:type="dxa"/>
          </w:tcPr>
          <w:p w:rsidR="00C7016D" w:rsidRDefault="00C7016D" w:rsidP="005E1B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1945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документы:</w:t>
            </w:r>
            <w:r w:rsidRPr="00FA19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7016D" w:rsidRPr="00FA1945" w:rsidRDefault="00C7016D" w:rsidP="005E1B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FA1945">
              <w:rPr>
                <w:rFonts w:ascii="Times New Roman" w:hAnsi="Times New Roman" w:cs="Times New Roman"/>
                <w:i/>
                <w:sz w:val="12"/>
                <w:szCs w:val="12"/>
              </w:rPr>
              <w:t>(предоставляются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</w:t>
            </w:r>
          </w:p>
          <w:p w:rsidR="00C7016D" w:rsidRPr="00FA1945" w:rsidRDefault="00C7016D" w:rsidP="005E1BA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94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FA1945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утвержденная в установленном порядке проектная документация на подключаемый объект в части сведений об инженерном оборудовании и сетях инженерно-технического обеспечения подключаемого объекта;</w:t>
            </w:r>
          </w:p>
          <w:p w:rsidR="00C7016D" w:rsidRPr="00FA1945" w:rsidRDefault="00C7016D" w:rsidP="005E1BA0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194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945">
              <w:rPr>
                <w:rFonts w:ascii="Times New Roman" w:hAnsi="Times New Roman" w:cs="Times New Roman"/>
                <w:sz w:val="18"/>
                <w:szCs w:val="18"/>
              </w:rPr>
              <w:t>результаты инженерных изысканий,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945">
              <w:rPr>
                <w:rFonts w:ascii="Times New Roman" w:hAnsi="Times New Roman" w:cs="Times New Roman"/>
                <w:sz w:val="18"/>
                <w:szCs w:val="18"/>
              </w:rPr>
              <w:t>(при наличии у заявителя таких результатов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:rsidR="004A2AE8" w:rsidRDefault="004A2AE8"/>
    <w:sectPr w:rsidR="004A2AE8" w:rsidSect="007313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9C" w:rsidRDefault="00194E9C" w:rsidP="004A2AE8">
      <w:pPr>
        <w:spacing w:after="0" w:line="240" w:lineRule="auto"/>
      </w:pPr>
      <w:r>
        <w:separator/>
      </w:r>
    </w:p>
  </w:endnote>
  <w:endnote w:type="continuationSeparator" w:id="0">
    <w:p w:rsidR="00194E9C" w:rsidRDefault="00194E9C" w:rsidP="004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9C" w:rsidRDefault="00194E9C" w:rsidP="004A2AE8">
      <w:pPr>
        <w:spacing w:after="0" w:line="240" w:lineRule="auto"/>
      </w:pPr>
      <w:r>
        <w:separator/>
      </w:r>
    </w:p>
  </w:footnote>
  <w:footnote w:type="continuationSeparator" w:id="0">
    <w:p w:rsidR="00194E9C" w:rsidRDefault="00194E9C" w:rsidP="004A2AE8">
      <w:pPr>
        <w:spacing w:after="0" w:line="240" w:lineRule="auto"/>
      </w:pPr>
      <w:r>
        <w:continuationSeparator/>
      </w:r>
    </w:p>
  </w:footnote>
  <w:footnote w:id="1">
    <w:p w:rsidR="004A2AE8" w:rsidRPr="00960B68" w:rsidRDefault="004A2AE8" w:rsidP="00731391">
      <w:pPr>
        <w:pStyle w:val="a5"/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4A2AE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A2AE8">
        <w:rPr>
          <w:rFonts w:ascii="Times New Roman" w:hAnsi="Times New Roman" w:cs="Times New Roman"/>
          <w:sz w:val="16"/>
          <w:szCs w:val="16"/>
        </w:rPr>
        <w:t xml:space="preserve"> в </w:t>
      </w:r>
      <w:r w:rsidRPr="00960B68">
        <w:rPr>
          <w:rFonts w:ascii="Times New Roman" w:hAnsi="Times New Roman" w:cs="Times New Roman"/>
          <w:sz w:val="16"/>
          <w:szCs w:val="16"/>
        </w:rPr>
        <w:t xml:space="preserve">соответствии с п. </w:t>
      </w:r>
      <w:r w:rsidR="00D91E2C">
        <w:rPr>
          <w:rFonts w:ascii="Times New Roman" w:hAnsi="Times New Roman" w:cs="Times New Roman"/>
          <w:sz w:val="16"/>
          <w:szCs w:val="16"/>
        </w:rPr>
        <w:t>26, 27</w:t>
      </w:r>
      <w:bookmarkStart w:id="0" w:name="_GoBack"/>
      <w:bookmarkEnd w:id="0"/>
      <w:r w:rsidRPr="00960B68">
        <w:rPr>
          <w:rFonts w:ascii="Times New Roman" w:hAnsi="Times New Roman" w:cs="Times New Roman"/>
          <w:sz w:val="16"/>
          <w:szCs w:val="16"/>
        </w:rPr>
        <w:t xml:space="preserve"> Правил </w:t>
      </w:r>
      <w:r w:rsidRPr="00960B68">
        <w:rPr>
          <w:rFonts w:ascii="Times New Roman" w:hAnsi="Times New Roman" w:cs="Times New Roman"/>
          <w:bCs/>
          <w:sz w:val="16"/>
          <w:szCs w:val="16"/>
        </w:rPr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утв. постановлением Правительства №2130 от 30.11.2021</w:t>
      </w:r>
      <w:r w:rsidR="00731391">
        <w:rPr>
          <w:rFonts w:ascii="Times New Roman" w:hAnsi="Times New Roman" w:cs="Times New Roman"/>
          <w:bCs/>
          <w:sz w:val="16"/>
          <w:szCs w:val="16"/>
        </w:rPr>
        <w:t>.</w:t>
      </w:r>
    </w:p>
  </w:footnote>
  <w:footnote w:id="2">
    <w:p w:rsidR="00960B68" w:rsidRPr="00960B68" w:rsidRDefault="00960B68" w:rsidP="00731391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0B6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960B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60B68">
        <w:rPr>
          <w:rFonts w:ascii="Times New Roman" w:hAnsi="Times New Roman" w:cs="Times New Roman"/>
          <w:sz w:val="16"/>
          <w:szCs w:val="16"/>
        </w:rPr>
        <w:t>равоустанавливающими являются документы, явившиеся основанием для государственной регистрации наличия, возникновения, прекращения, перехода прав на земельный участок (объект) и сделок с ним (договор купли-продажи, дарения, мены, приватизации, договор аренды и др.; решение суда, вступившее в законную силу; свидетельство о праве на наследство; решения, постановления, распоряжения, акты органов государственной власти или органов местного самоуправления о предоставлении (выделении) земельных участков и др.</w:t>
      </w:r>
    </w:p>
  </w:footnote>
  <w:footnote w:id="3">
    <w:p w:rsidR="00731391" w:rsidRPr="00731391" w:rsidRDefault="00731391" w:rsidP="00731391">
      <w:pPr>
        <w:pStyle w:val="a5"/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73139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31391">
        <w:rPr>
          <w:rFonts w:ascii="Times New Roman" w:hAnsi="Times New Roman" w:cs="Times New Roman"/>
          <w:sz w:val="16"/>
          <w:szCs w:val="16"/>
        </w:rPr>
        <w:t xml:space="preserve"> при представлении в качестве </w:t>
      </w:r>
      <w:proofErr w:type="spellStart"/>
      <w:r w:rsidRPr="00731391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731391">
        <w:rPr>
          <w:rFonts w:ascii="Times New Roman" w:hAnsi="Times New Roman" w:cs="Times New Roman"/>
          <w:sz w:val="16"/>
          <w:szCs w:val="1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960B68" w:rsidRPr="00960B68" w:rsidRDefault="00960B68" w:rsidP="00731391">
      <w:pPr>
        <w:pStyle w:val="a5"/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960B6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960B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60B68">
        <w:rPr>
          <w:rFonts w:ascii="Times New Roman" w:hAnsi="Times New Roman" w:cs="Times New Roman"/>
          <w:sz w:val="16"/>
          <w:szCs w:val="16"/>
        </w:rPr>
        <w:t xml:space="preserve">редоставляется, если </w:t>
      </w:r>
      <w:r w:rsidR="007D11F9">
        <w:rPr>
          <w:rFonts w:ascii="Times New Roman" w:hAnsi="Times New Roman" w:cs="Times New Roman"/>
          <w:sz w:val="16"/>
          <w:szCs w:val="16"/>
        </w:rPr>
        <w:t>с заявлением о подключении</w:t>
      </w:r>
      <w:r w:rsidRPr="00960B68">
        <w:rPr>
          <w:rFonts w:ascii="Times New Roman" w:hAnsi="Times New Roman" w:cs="Times New Roman"/>
          <w:sz w:val="16"/>
          <w:szCs w:val="16"/>
        </w:rPr>
        <w:t xml:space="preserve"> обращается лицо, с которым заключен договор о </w:t>
      </w:r>
      <w:r w:rsidR="00C7016D">
        <w:rPr>
          <w:rFonts w:ascii="Times New Roman" w:hAnsi="Times New Roman" w:cs="Times New Roman"/>
          <w:sz w:val="16"/>
          <w:szCs w:val="16"/>
        </w:rPr>
        <w:t>комплексном развитии территории</w:t>
      </w:r>
      <w:r w:rsidR="00731391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731391" w:rsidRPr="00731391" w:rsidRDefault="00731391" w:rsidP="00731391">
      <w:pPr>
        <w:pStyle w:val="a5"/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73139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313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1391">
        <w:rPr>
          <w:rFonts w:ascii="Times New Roman" w:hAnsi="Times New Roman" w:cs="Times New Roman"/>
          <w:sz w:val="16"/>
          <w:szCs w:val="16"/>
        </w:rPr>
        <w:t xml:space="preserve">предоставляется, если </w:t>
      </w:r>
      <w:r w:rsidR="007D11F9">
        <w:rPr>
          <w:rFonts w:ascii="Times New Roman" w:hAnsi="Times New Roman" w:cs="Times New Roman"/>
          <w:sz w:val="16"/>
          <w:szCs w:val="16"/>
        </w:rPr>
        <w:t>с заявлением о подключении,</w:t>
      </w:r>
      <w:r w:rsidRPr="00731391">
        <w:rPr>
          <w:rFonts w:ascii="Times New Roman" w:hAnsi="Times New Roman" w:cs="Times New Roman"/>
          <w:sz w:val="16"/>
          <w:szCs w:val="16"/>
        </w:rPr>
        <w:t xml:space="preserve"> </w:t>
      </w:r>
      <w:r w:rsidR="007D11F9">
        <w:rPr>
          <w:rFonts w:ascii="Times New Roman" w:hAnsi="Times New Roman" w:cs="Times New Roman"/>
          <w:sz w:val="16"/>
          <w:szCs w:val="16"/>
        </w:rPr>
        <w:t>в</w:t>
      </w:r>
      <w:r w:rsidR="007D11F9" w:rsidRPr="007D11F9">
        <w:rPr>
          <w:rFonts w:ascii="Times New Roman" w:hAnsi="Times New Roman" w:cs="Times New Roman"/>
          <w:sz w:val="16"/>
          <w:szCs w:val="16"/>
        </w:rPr>
        <w:t xml:space="preserve"> случаях, предусмотренных </w:t>
      </w:r>
      <w:hyperlink r:id="rId1" w:history="1">
        <w:r w:rsidR="007D11F9" w:rsidRPr="007D11F9">
          <w:rPr>
            <w:rStyle w:val="a4"/>
            <w:rFonts w:ascii="Times New Roman" w:hAnsi="Times New Roman" w:cs="Times New Roman"/>
            <w:sz w:val="16"/>
            <w:szCs w:val="16"/>
          </w:rPr>
          <w:t>частью 6 статьи 52.1</w:t>
        </w:r>
      </w:hyperlink>
      <w:r w:rsidR="007D11F9" w:rsidRPr="007D11F9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</w:t>
      </w:r>
      <w:r w:rsidR="007D11F9">
        <w:rPr>
          <w:rFonts w:ascii="Times New Roman" w:hAnsi="Times New Roman" w:cs="Times New Roman"/>
          <w:sz w:val="16"/>
          <w:szCs w:val="16"/>
        </w:rPr>
        <w:t xml:space="preserve">, </w:t>
      </w:r>
      <w:r w:rsidRPr="00731391">
        <w:rPr>
          <w:rFonts w:ascii="Times New Roman" w:hAnsi="Times New Roman" w:cs="Times New Roman"/>
          <w:sz w:val="16"/>
          <w:szCs w:val="16"/>
        </w:rPr>
        <w:t>обращается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360A"/>
    <w:multiLevelType w:val="hybridMultilevel"/>
    <w:tmpl w:val="C2108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7CD1"/>
    <w:multiLevelType w:val="hybridMultilevel"/>
    <w:tmpl w:val="78A010C2"/>
    <w:lvl w:ilvl="0" w:tplc="C9E63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2685C"/>
    <w:multiLevelType w:val="hybridMultilevel"/>
    <w:tmpl w:val="DC0A009E"/>
    <w:lvl w:ilvl="0" w:tplc="C9E63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E8"/>
    <w:rsid w:val="00106B0E"/>
    <w:rsid w:val="00194E9C"/>
    <w:rsid w:val="0044079F"/>
    <w:rsid w:val="004A2AE8"/>
    <w:rsid w:val="00731391"/>
    <w:rsid w:val="007A7CCE"/>
    <w:rsid w:val="007D11F9"/>
    <w:rsid w:val="00960B68"/>
    <w:rsid w:val="00C7016D"/>
    <w:rsid w:val="00D45AE3"/>
    <w:rsid w:val="00D91E2C"/>
    <w:rsid w:val="00FE30CB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94016-401C-4761-83CA-5F64CF3C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2AE8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A2A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2A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AE8"/>
    <w:rPr>
      <w:vertAlign w:val="superscript"/>
    </w:rPr>
  </w:style>
  <w:style w:type="paragraph" w:styleId="a8">
    <w:name w:val="List Paragraph"/>
    <w:basedOn w:val="a"/>
    <w:uiPriority w:val="34"/>
    <w:qFormat/>
    <w:rsid w:val="004A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EDFBE693AEA4A95394B3E74607B0FBBB842AC5E17CAEAFC8C64DDC5ED0B8606744CC76259337D3D7BE126BU3l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E9CEDFBE693AEA4A95394B3E74607B0FBBB842AC5E17CAEAFC8C64DDC5ED0B872671CC27027853C8198F847643D554FE716953BC4B6UF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FE6B-744D-459B-BACC-D7CDBE05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Костюченко</dc:creator>
  <cp:keywords/>
  <dc:description/>
  <cp:lastModifiedBy>Константин Костюченко</cp:lastModifiedBy>
  <cp:revision>3</cp:revision>
  <dcterms:created xsi:type="dcterms:W3CDTF">2022-06-01T13:29:00Z</dcterms:created>
  <dcterms:modified xsi:type="dcterms:W3CDTF">2022-06-01T14:10:00Z</dcterms:modified>
</cp:coreProperties>
</file>